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微软雅黑" w:hAnsi="微软雅黑" w:eastAsia="微软雅黑"/>
          <w:b/>
          <w:sz w:val="28"/>
          <w:szCs w:val="24"/>
        </w:rPr>
      </w:pPr>
      <w:r>
        <w:rPr>
          <w:rFonts w:hint="eastAsia" w:ascii="微软雅黑" w:hAnsi="微软雅黑" w:eastAsia="微软雅黑"/>
          <w:b/>
          <w:sz w:val="28"/>
          <w:szCs w:val="24"/>
        </w:rPr>
        <w:t>博士生学位论文开题申请</w:t>
      </w:r>
    </w:p>
    <w:p>
      <w:pPr>
        <w:jc w:val="left"/>
        <w:rPr>
          <w:rFonts w:ascii="微软雅黑" w:hAnsi="微软雅黑" w:eastAsia="微软雅黑"/>
          <w:b/>
          <w:sz w:val="24"/>
          <w:szCs w:val="24"/>
        </w:rPr>
      </w:pPr>
    </w:p>
    <w:p>
      <w:pPr>
        <w:jc w:val="left"/>
        <w:rPr>
          <w:rFonts w:ascii="微软雅黑" w:hAnsi="微软雅黑" w:eastAsia="微软雅黑"/>
          <w:sz w:val="24"/>
          <w:szCs w:val="24"/>
        </w:rPr>
      </w:pPr>
      <w:r>
        <w:rPr>
          <w:rFonts w:hint="eastAsia" w:ascii="微软雅黑" w:hAnsi="微软雅黑" w:eastAsia="微软雅黑"/>
          <w:b/>
          <w:sz w:val="24"/>
          <w:szCs w:val="24"/>
        </w:rPr>
        <w:t>博士生姓名：</w:t>
      </w:r>
      <w:r>
        <w:rPr>
          <w:rFonts w:hint="eastAsia" w:ascii="微软雅黑" w:hAnsi="微软雅黑" w:eastAsia="微软雅黑"/>
          <w:b w:val="0"/>
          <w:bCs/>
          <w:sz w:val="24"/>
          <w:szCs w:val="24"/>
          <w:lang w:eastAsia="zh-CN"/>
        </w:rPr>
        <w:t>王</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lang w:eastAsia="zh-CN"/>
        </w:rPr>
        <w:t>禅</w:t>
      </w:r>
    </w:p>
    <w:p>
      <w:pPr>
        <w:jc w:val="left"/>
        <w:rPr>
          <w:rFonts w:ascii="微软雅黑" w:hAnsi="微软雅黑" w:eastAsia="微软雅黑"/>
          <w:b w:val="0"/>
          <w:bCs/>
          <w:sz w:val="24"/>
          <w:szCs w:val="24"/>
        </w:rPr>
      </w:pPr>
      <w:r>
        <w:rPr>
          <w:rFonts w:hint="eastAsia" w:ascii="微软雅黑" w:hAnsi="微软雅黑" w:eastAsia="微软雅黑"/>
          <w:b/>
          <w:sz w:val="24"/>
          <w:szCs w:val="24"/>
        </w:rPr>
        <w:t>年级专业：</w:t>
      </w:r>
      <w:r>
        <w:rPr>
          <w:rFonts w:hint="eastAsia" w:ascii="微软雅黑" w:hAnsi="微软雅黑" w:eastAsia="微软雅黑"/>
          <w:b w:val="0"/>
          <w:bCs/>
          <w:sz w:val="24"/>
          <w:szCs w:val="24"/>
        </w:rPr>
        <w:t xml:space="preserve">社会发展与公共政策学院 </w:t>
      </w:r>
      <w:r>
        <w:rPr>
          <w:rFonts w:ascii="微软雅黑" w:hAnsi="微软雅黑" w:eastAsia="微软雅黑"/>
          <w:b w:val="0"/>
          <w:bCs/>
          <w:sz w:val="24"/>
          <w:szCs w:val="24"/>
        </w:rPr>
        <w:t xml:space="preserve"> </w:t>
      </w:r>
      <w:r>
        <w:rPr>
          <w:rFonts w:hint="eastAsia" w:ascii="微软雅黑" w:hAnsi="微软雅黑" w:eastAsia="微软雅黑"/>
          <w:b w:val="0"/>
          <w:bCs/>
          <w:sz w:val="24"/>
          <w:szCs w:val="24"/>
        </w:rPr>
        <w:t>2</w:t>
      </w:r>
      <w:r>
        <w:rPr>
          <w:rFonts w:ascii="微软雅黑" w:hAnsi="微软雅黑" w:eastAsia="微软雅黑"/>
          <w:b w:val="0"/>
          <w:bCs/>
          <w:sz w:val="24"/>
          <w:szCs w:val="24"/>
        </w:rPr>
        <w:t>018</w:t>
      </w:r>
      <w:r>
        <w:rPr>
          <w:rFonts w:hint="eastAsia" w:ascii="微软雅黑" w:hAnsi="微软雅黑" w:eastAsia="微软雅黑"/>
          <w:b w:val="0"/>
          <w:bCs/>
          <w:sz w:val="24"/>
          <w:szCs w:val="24"/>
        </w:rPr>
        <w:t xml:space="preserve">级 </w:t>
      </w:r>
      <w:r>
        <w:rPr>
          <w:rFonts w:ascii="微软雅黑" w:hAnsi="微软雅黑" w:eastAsia="微软雅黑"/>
          <w:b w:val="0"/>
          <w:bCs/>
          <w:sz w:val="24"/>
          <w:szCs w:val="24"/>
        </w:rPr>
        <w:t xml:space="preserve"> </w:t>
      </w:r>
      <w:r>
        <w:rPr>
          <w:rFonts w:hint="eastAsia" w:ascii="微软雅黑" w:hAnsi="微软雅黑" w:eastAsia="微软雅黑"/>
          <w:b w:val="0"/>
          <w:bCs/>
          <w:sz w:val="24"/>
          <w:szCs w:val="24"/>
        </w:rPr>
        <w:t>公共管理专业</w:t>
      </w:r>
    </w:p>
    <w:p>
      <w:pPr>
        <w:jc w:val="left"/>
        <w:rPr>
          <w:rFonts w:ascii="微软雅黑" w:hAnsi="微软雅黑" w:eastAsia="微软雅黑"/>
          <w:b/>
          <w:sz w:val="24"/>
          <w:szCs w:val="24"/>
        </w:rPr>
      </w:pPr>
      <w:r>
        <w:rPr>
          <w:rFonts w:hint="eastAsia" w:ascii="微软雅黑" w:hAnsi="微软雅黑" w:eastAsia="微软雅黑"/>
          <w:b/>
          <w:sz w:val="24"/>
          <w:szCs w:val="24"/>
        </w:rPr>
        <w:t>导师姓名：</w:t>
      </w:r>
      <w:r>
        <w:rPr>
          <w:rFonts w:hint="eastAsia" w:ascii="微软雅黑" w:hAnsi="微软雅黑" w:eastAsia="微软雅黑"/>
          <w:b w:val="0"/>
          <w:bCs/>
          <w:sz w:val="24"/>
          <w:szCs w:val="24"/>
          <w:lang w:eastAsia="zh-CN"/>
        </w:rPr>
        <w:t>朱光明</w:t>
      </w:r>
      <w:r>
        <w:rPr>
          <w:rFonts w:hint="eastAsia" w:ascii="微软雅黑" w:hAnsi="微软雅黑" w:eastAsia="微软雅黑"/>
          <w:b w:val="0"/>
          <w:bCs/>
          <w:sz w:val="24"/>
          <w:szCs w:val="24"/>
          <w:lang w:val="en-US" w:eastAsia="zh-CN"/>
        </w:rPr>
        <w:t xml:space="preserve"> 教授</w:t>
      </w:r>
    </w:p>
    <w:p>
      <w:pPr>
        <w:jc w:val="left"/>
        <w:rPr>
          <w:rFonts w:ascii="微软雅黑" w:hAnsi="微软雅黑" w:eastAsia="微软雅黑"/>
          <w:sz w:val="24"/>
          <w:szCs w:val="24"/>
        </w:rPr>
      </w:pPr>
      <w:r>
        <w:rPr>
          <w:rFonts w:hint="eastAsia" w:ascii="微软雅黑" w:hAnsi="微软雅黑" w:eastAsia="微软雅黑"/>
          <w:b/>
          <w:sz w:val="24"/>
          <w:szCs w:val="24"/>
        </w:rPr>
        <w:t>开题时间及地点：</w:t>
      </w:r>
      <w:r>
        <w:rPr>
          <w:rFonts w:hint="eastAsia" w:ascii="微软雅黑" w:hAnsi="微软雅黑" w:eastAsia="微软雅黑"/>
          <w:b w:val="0"/>
          <w:bCs/>
          <w:sz w:val="24"/>
          <w:szCs w:val="24"/>
        </w:rPr>
        <w:t>2</w:t>
      </w:r>
      <w:r>
        <w:rPr>
          <w:rFonts w:ascii="微软雅黑" w:hAnsi="微软雅黑" w:eastAsia="微软雅黑"/>
          <w:b w:val="0"/>
          <w:bCs/>
          <w:sz w:val="24"/>
          <w:szCs w:val="24"/>
        </w:rPr>
        <w:t>02</w:t>
      </w:r>
      <w:r>
        <w:rPr>
          <w:rFonts w:hint="eastAsia" w:ascii="微软雅黑" w:hAnsi="微软雅黑" w:eastAsia="微软雅黑"/>
          <w:b w:val="0"/>
          <w:bCs/>
          <w:sz w:val="24"/>
          <w:szCs w:val="24"/>
          <w:lang w:val="en-US" w:eastAsia="zh-CN"/>
        </w:rPr>
        <w:t>1</w:t>
      </w:r>
      <w:r>
        <w:rPr>
          <w:rFonts w:hint="eastAsia" w:ascii="微软雅黑" w:hAnsi="微软雅黑" w:eastAsia="微软雅黑"/>
          <w:b w:val="0"/>
          <w:bCs/>
          <w:sz w:val="24"/>
          <w:szCs w:val="24"/>
        </w:rPr>
        <w:t>年</w:t>
      </w:r>
      <w:r>
        <w:rPr>
          <w:rFonts w:hint="eastAsia" w:ascii="微软雅黑" w:hAnsi="微软雅黑" w:eastAsia="微软雅黑"/>
          <w:b w:val="0"/>
          <w:bCs/>
          <w:sz w:val="24"/>
          <w:szCs w:val="24"/>
          <w:lang w:val="en-US" w:eastAsia="zh-CN"/>
        </w:rPr>
        <w:t>6</w:t>
      </w:r>
      <w:r>
        <w:rPr>
          <w:rFonts w:hint="eastAsia" w:ascii="微软雅黑" w:hAnsi="微软雅黑" w:eastAsia="微软雅黑"/>
          <w:b w:val="0"/>
          <w:bCs/>
          <w:sz w:val="24"/>
          <w:szCs w:val="24"/>
        </w:rPr>
        <w:t>月</w:t>
      </w:r>
      <w:r>
        <w:rPr>
          <w:rFonts w:hint="eastAsia" w:ascii="微软雅黑" w:hAnsi="微软雅黑" w:eastAsia="微软雅黑"/>
          <w:b w:val="0"/>
          <w:bCs/>
          <w:sz w:val="24"/>
          <w:szCs w:val="24"/>
          <w:lang w:val="en-US" w:eastAsia="zh-CN"/>
        </w:rPr>
        <w:t>7</w:t>
      </w:r>
      <w:r>
        <w:rPr>
          <w:rFonts w:hint="eastAsia" w:ascii="微软雅黑" w:hAnsi="微软雅黑" w:eastAsia="微软雅黑"/>
          <w:b w:val="0"/>
          <w:bCs/>
          <w:sz w:val="24"/>
          <w:szCs w:val="24"/>
        </w:rPr>
        <w:t xml:space="preserve">日 </w:t>
      </w:r>
      <w:r>
        <w:rPr>
          <w:rFonts w:ascii="微软雅黑" w:hAnsi="微软雅黑" w:eastAsia="微软雅黑"/>
          <w:b w:val="0"/>
          <w:bCs/>
          <w:sz w:val="24"/>
          <w:szCs w:val="24"/>
        </w:rPr>
        <w:t>1</w:t>
      </w:r>
      <w:r>
        <w:rPr>
          <w:rFonts w:hint="eastAsia" w:ascii="微软雅黑" w:hAnsi="微软雅黑" w:eastAsia="微软雅黑"/>
          <w:b w:val="0"/>
          <w:bCs/>
          <w:sz w:val="24"/>
          <w:szCs w:val="24"/>
          <w:lang w:val="en-US" w:eastAsia="zh-CN"/>
        </w:rPr>
        <w:t>5：</w:t>
      </w:r>
      <w:r>
        <w:rPr>
          <w:rFonts w:ascii="微软雅黑" w:hAnsi="微软雅黑" w:eastAsia="微软雅黑"/>
          <w:b w:val="0"/>
          <w:bCs/>
          <w:sz w:val="24"/>
          <w:szCs w:val="24"/>
        </w:rPr>
        <w:t>00</w:t>
      </w:r>
      <w:r>
        <w:rPr>
          <w:rFonts w:hint="eastAsia" w:ascii="微软雅黑" w:hAnsi="微软雅黑" w:eastAsia="微软雅黑"/>
          <w:b w:val="0"/>
          <w:bCs/>
          <w:sz w:val="24"/>
          <w:szCs w:val="24"/>
        </w:rPr>
        <w:t>—1</w:t>
      </w:r>
      <w:r>
        <w:rPr>
          <w:rFonts w:hint="eastAsia" w:ascii="微软雅黑" w:hAnsi="微软雅黑" w:eastAsia="微软雅黑"/>
          <w:b w:val="0"/>
          <w:bCs/>
          <w:sz w:val="24"/>
          <w:szCs w:val="24"/>
          <w:lang w:val="en-US" w:eastAsia="zh-CN"/>
        </w:rPr>
        <w:t>6：</w:t>
      </w:r>
      <w:r>
        <w:rPr>
          <w:rFonts w:ascii="微软雅黑" w:hAnsi="微软雅黑" w:eastAsia="微软雅黑"/>
          <w:b w:val="0"/>
          <w:bCs/>
          <w:sz w:val="24"/>
          <w:szCs w:val="24"/>
        </w:rPr>
        <w:t xml:space="preserve">00 </w:t>
      </w:r>
      <w:r>
        <w:rPr>
          <w:rFonts w:hint="eastAsia" w:ascii="微软雅黑" w:hAnsi="微软雅黑" w:eastAsia="微软雅黑"/>
          <w:b w:val="0"/>
          <w:bCs/>
          <w:sz w:val="24"/>
          <w:szCs w:val="24"/>
        </w:rPr>
        <w:t>后主楼</w:t>
      </w:r>
      <w:r>
        <w:rPr>
          <w:rFonts w:ascii="微软雅黑" w:hAnsi="微软雅黑" w:eastAsia="微软雅黑"/>
          <w:b w:val="0"/>
          <w:bCs/>
          <w:sz w:val="24"/>
          <w:szCs w:val="24"/>
        </w:rPr>
        <w:t>2029</w:t>
      </w:r>
      <w:r>
        <w:rPr>
          <w:rFonts w:hint="eastAsia" w:ascii="微软雅黑" w:hAnsi="微软雅黑" w:eastAsia="微软雅黑"/>
          <w:b w:val="0"/>
          <w:bCs/>
          <w:sz w:val="24"/>
          <w:szCs w:val="24"/>
        </w:rPr>
        <w:t>室</w:t>
      </w:r>
    </w:p>
    <w:p>
      <w:pPr>
        <w:jc w:val="left"/>
        <w:rPr>
          <w:rFonts w:hint="eastAsia" w:ascii="微软雅黑" w:hAnsi="微软雅黑" w:eastAsia="微软雅黑"/>
          <w:b/>
          <w:sz w:val="24"/>
          <w:szCs w:val="24"/>
        </w:rPr>
      </w:pPr>
      <w:r>
        <w:rPr>
          <w:rFonts w:hint="eastAsia" w:ascii="微软雅黑" w:hAnsi="微软雅黑" w:eastAsia="微软雅黑"/>
          <w:b/>
          <w:sz w:val="24"/>
          <w:szCs w:val="24"/>
        </w:rPr>
        <w:t>开题题目：</w:t>
      </w:r>
    </w:p>
    <w:p>
      <w:pPr>
        <w:jc w:val="left"/>
        <w:rPr>
          <w:rFonts w:ascii="微软雅黑" w:hAnsi="微软雅黑" w:eastAsia="微软雅黑"/>
          <w:sz w:val="24"/>
          <w:szCs w:val="24"/>
        </w:rPr>
      </w:pPr>
      <w:r>
        <w:rPr>
          <w:rFonts w:hint="eastAsia" w:ascii="微软雅黑" w:hAnsi="微软雅黑" w:eastAsia="微软雅黑"/>
          <w:b w:val="0"/>
          <w:bCs/>
          <w:sz w:val="24"/>
          <w:szCs w:val="24"/>
        </w:rPr>
        <w:t>合作网络理论下的县级CDC与县域医共体开展防治结合</w:t>
      </w:r>
      <w:r>
        <w:rPr>
          <w:rFonts w:hint="eastAsia" w:ascii="微软雅黑" w:hAnsi="微软雅黑" w:eastAsia="微软雅黑"/>
          <w:b w:val="0"/>
          <w:bCs/>
          <w:sz w:val="24"/>
          <w:szCs w:val="24"/>
          <w:lang w:eastAsia="zh-CN"/>
        </w:rPr>
        <w:t>的合作</w:t>
      </w:r>
      <w:r>
        <w:rPr>
          <w:rFonts w:hint="eastAsia" w:ascii="微软雅黑" w:hAnsi="微软雅黑" w:eastAsia="微软雅黑"/>
          <w:b w:val="0"/>
          <w:bCs/>
          <w:sz w:val="24"/>
          <w:szCs w:val="24"/>
        </w:rPr>
        <w:t>机制研究</w:t>
      </w:r>
      <w:bookmarkStart w:id="1" w:name="_GoBack"/>
      <w:bookmarkEnd w:id="1"/>
    </w:p>
    <w:p>
      <w:pPr>
        <w:jc w:val="left"/>
        <w:rPr>
          <w:rFonts w:ascii="微软雅黑" w:hAnsi="微软雅黑" w:eastAsia="微软雅黑"/>
          <w:b/>
          <w:sz w:val="24"/>
          <w:szCs w:val="24"/>
        </w:rPr>
      </w:pPr>
      <w:r>
        <w:rPr>
          <w:rFonts w:hint="eastAsia" w:ascii="微软雅黑" w:hAnsi="微软雅黑" w:eastAsia="微软雅黑"/>
          <w:b/>
          <w:sz w:val="24"/>
          <w:szCs w:val="24"/>
        </w:rPr>
        <w:t>开题简述：</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Style w:val="19"/>
          <w:rFonts w:hint="eastAsia" w:cs="Times New Roman"/>
          <w:sz w:val="24"/>
          <w:lang w:eastAsia="zh-CN"/>
        </w:rPr>
      </w:pPr>
      <w:r>
        <w:rPr>
          <w:rStyle w:val="19"/>
          <w:rFonts w:hint="eastAsia" w:cs="Times New Roman"/>
          <w:sz w:val="24"/>
          <w:lang w:eastAsia="zh-CN"/>
        </w:rPr>
        <w:t>健康影响因素的广泛性、复杂性，人的整体性，都提示我们在健康干预中防治结合的重要性。</w:t>
      </w:r>
      <w:r>
        <w:rPr>
          <w:rStyle w:val="19"/>
          <w:rFonts w:hint="default" w:cs="Times New Roman"/>
          <w:sz w:val="24"/>
        </w:rPr>
        <w:t>县域</w:t>
      </w:r>
      <w:r>
        <w:rPr>
          <w:rStyle w:val="19"/>
          <w:rFonts w:hint="eastAsia" w:cs="Times New Roman"/>
          <w:sz w:val="24"/>
          <w:lang w:eastAsia="zh-CN"/>
        </w:rPr>
        <w:t>医疗卫生机构</w:t>
      </w:r>
      <w:r>
        <w:rPr>
          <w:rStyle w:val="19"/>
          <w:rFonts w:hint="default" w:cs="Times New Roman"/>
          <w:sz w:val="24"/>
        </w:rPr>
        <w:t>作为基本医疗卫生服务</w:t>
      </w:r>
      <w:r>
        <w:rPr>
          <w:rStyle w:val="19"/>
          <w:rFonts w:hint="eastAsia" w:cs="Times New Roman"/>
          <w:sz w:val="24"/>
          <w:lang w:eastAsia="zh-CN"/>
        </w:rPr>
        <w:t>的</w:t>
      </w:r>
      <w:r>
        <w:rPr>
          <w:rStyle w:val="19"/>
          <w:rFonts w:hint="default" w:cs="Times New Roman"/>
          <w:sz w:val="24"/>
        </w:rPr>
        <w:t>提供者</w:t>
      </w:r>
      <w:r>
        <w:rPr>
          <w:rStyle w:val="19"/>
          <w:rFonts w:hint="eastAsia" w:cs="Times New Roman"/>
          <w:sz w:val="24"/>
          <w:lang w:eastAsia="zh-CN"/>
        </w:rPr>
        <w:t>，相对贴近人群和社区，</w:t>
      </w:r>
      <w:r>
        <w:rPr>
          <w:rStyle w:val="19"/>
          <w:rFonts w:hint="eastAsia" w:cs="Times New Roman"/>
          <w:sz w:val="24"/>
        </w:rPr>
        <w:t>是</w:t>
      </w:r>
      <w:r>
        <w:rPr>
          <w:rStyle w:val="19"/>
          <w:rFonts w:hint="default" w:cs="Times New Roman"/>
          <w:sz w:val="24"/>
        </w:rPr>
        <w:t>防治结合的主要实践场地</w:t>
      </w:r>
      <w:r>
        <w:rPr>
          <w:rStyle w:val="19"/>
          <w:rFonts w:hint="eastAsia" w:cs="Times New Roman"/>
          <w:sz w:val="24"/>
          <w:lang w:eastAsia="zh-CN"/>
        </w:rPr>
        <w:t>。然而，由于以往“治疗为主”观念盛行，缺少激励机制和短视行为影响，县域防治割裂问题严重，突出地变现为治疗机构与预防机构间缺乏必要的互动与合作。本文以医疗服务提供的关键主体——县域医共体、公共卫生服务提供的关键主体——县级</w:t>
      </w:r>
      <w:r>
        <w:rPr>
          <w:rStyle w:val="19"/>
          <w:rFonts w:hint="eastAsia" w:cs="Times New Roman"/>
          <w:sz w:val="24"/>
          <w:lang w:val="en-US" w:eastAsia="zh-CN"/>
        </w:rPr>
        <w:t>CDC为例。二者单位性质不同，管理体制与运行机制不同，发展环境与发展水平不同，导致县域医共体与县级CDC合作困难，然而二者职能的互补与交叉，以及</w:t>
      </w:r>
      <w:r>
        <w:rPr>
          <w:rStyle w:val="19"/>
          <w:rFonts w:hint="default" w:cs="Times New Roman"/>
          <w:sz w:val="24"/>
        </w:rPr>
        <w:t>近年</w:t>
      </w:r>
      <w:r>
        <w:rPr>
          <w:rStyle w:val="19"/>
          <w:rFonts w:hint="eastAsia" w:cs="Times New Roman"/>
          <w:sz w:val="24"/>
          <w:lang w:eastAsia="zh-CN"/>
        </w:rPr>
        <w:t>来</w:t>
      </w:r>
      <w:r>
        <w:rPr>
          <w:rStyle w:val="19"/>
          <w:rFonts w:hint="default" w:cs="Times New Roman"/>
          <w:sz w:val="24"/>
        </w:rPr>
        <w:t>，随着</w:t>
      </w:r>
      <w:r>
        <w:rPr>
          <w:rStyle w:val="19"/>
          <w:rFonts w:hint="eastAsia" w:cs="Times New Roman"/>
          <w:sz w:val="24"/>
          <w:lang w:eastAsia="zh-CN"/>
        </w:rPr>
        <w:t>“</w:t>
      </w:r>
      <w:r>
        <w:rPr>
          <w:rStyle w:val="19"/>
          <w:rFonts w:hint="default" w:cs="Times New Roman"/>
          <w:sz w:val="24"/>
        </w:rPr>
        <w:t>预防为主</w:t>
      </w:r>
      <w:r>
        <w:rPr>
          <w:rStyle w:val="19"/>
          <w:rFonts w:hint="eastAsia" w:cs="Times New Roman"/>
          <w:sz w:val="24"/>
          <w:lang w:eastAsia="zh-CN"/>
        </w:rPr>
        <w:t>”</w:t>
      </w:r>
      <w:r>
        <w:rPr>
          <w:rStyle w:val="19"/>
          <w:rFonts w:hint="default" w:cs="Times New Roman"/>
          <w:sz w:val="24"/>
        </w:rPr>
        <w:t>观念的回归，临床与公共卫生发展的不平衡得到关注，</w:t>
      </w:r>
      <w:r>
        <w:rPr>
          <w:rStyle w:val="19"/>
          <w:rFonts w:hint="eastAsia" w:cs="Times New Roman"/>
          <w:sz w:val="24"/>
          <w:lang w:eastAsia="zh-CN"/>
        </w:rPr>
        <w:t>特别是针对此次新冠肺炎疫情的大流行暴露出我国公共卫生和防治结合方面存在的诸多短板，中央提出构建强大的公共卫生体系的目标和始终强调加强防治结合的改革导向，预示着二者开展防治结合合作的必然。现有研究</w:t>
      </w:r>
      <w:r>
        <w:rPr>
          <w:rStyle w:val="19"/>
          <w:rFonts w:hint="eastAsia" w:cs="Times New Roman"/>
          <w:sz w:val="24"/>
        </w:rPr>
        <w:t>较少</w:t>
      </w:r>
      <w:bookmarkStart w:id="0" w:name="OLE_LINK15"/>
      <w:r>
        <w:rPr>
          <w:rStyle w:val="19"/>
          <w:rFonts w:hint="eastAsia" w:cs="Times New Roman"/>
          <w:sz w:val="24"/>
        </w:rPr>
        <w:t>从防治结合的视角探讨基层医疗卫生机构间的合作</w:t>
      </w:r>
      <w:bookmarkEnd w:id="0"/>
      <w:r>
        <w:rPr>
          <w:rStyle w:val="19"/>
          <w:rFonts w:hint="eastAsia" w:cs="Times New Roman"/>
          <w:sz w:val="24"/>
          <w:lang w:eastAsia="zh-CN"/>
        </w:rPr>
        <w:t>，更缺乏对</w:t>
      </w:r>
      <w:r>
        <w:rPr>
          <w:rStyle w:val="19"/>
          <w:rFonts w:hint="eastAsia" w:cs="Times New Roman"/>
          <w:sz w:val="24"/>
        </w:rPr>
        <w:t>县级CDC和医共体合作主题的关注</w:t>
      </w:r>
      <w:r>
        <w:rPr>
          <w:rStyle w:val="19"/>
          <w:rFonts w:hint="eastAsia" w:cs="Times New Roman"/>
          <w:sz w:val="24"/>
          <w:lang w:eastAsia="zh-CN"/>
        </w:rPr>
        <w:t>，亦或是局限于</w:t>
      </w:r>
      <w:r>
        <w:rPr>
          <w:rStyle w:val="19"/>
          <w:rFonts w:hint="eastAsia" w:cs="Times New Roman"/>
          <w:sz w:val="24"/>
        </w:rPr>
        <w:t>经验总结</w:t>
      </w:r>
      <w:r>
        <w:rPr>
          <w:rStyle w:val="19"/>
          <w:rFonts w:hint="eastAsia" w:cs="Times New Roman"/>
          <w:sz w:val="24"/>
          <w:lang w:eastAsia="zh-CN"/>
        </w:rPr>
        <w:t>和宣传</w:t>
      </w:r>
      <w:r>
        <w:rPr>
          <w:rStyle w:val="19"/>
          <w:rFonts w:hint="eastAsia" w:cs="Times New Roman"/>
          <w:sz w:val="24"/>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Style w:val="19"/>
          <w:rFonts w:hint="default" w:cs="Times New Roman"/>
          <w:sz w:val="24"/>
        </w:rPr>
      </w:pPr>
      <w:r>
        <w:rPr>
          <w:rStyle w:val="19"/>
          <w:rFonts w:hint="eastAsia" w:cs="Times New Roman"/>
          <w:sz w:val="24"/>
          <w:lang w:val="en-US" w:eastAsia="zh-CN"/>
        </w:rPr>
        <w:t xml:space="preserve">    </w:t>
      </w:r>
      <w:r>
        <w:rPr>
          <w:rStyle w:val="19"/>
          <w:rFonts w:hint="eastAsia" w:cs="Times New Roman"/>
          <w:sz w:val="24"/>
          <w:lang w:eastAsia="zh-CN"/>
        </w:rPr>
        <w:t>对于县域医共体与县级</w:t>
      </w:r>
      <w:r>
        <w:rPr>
          <w:rStyle w:val="19"/>
          <w:rFonts w:hint="eastAsia" w:cs="Times New Roman"/>
          <w:sz w:val="24"/>
          <w:lang w:val="en-US" w:eastAsia="zh-CN"/>
        </w:rPr>
        <w:t>CDC开展防治结合合作，许多地方在几年前已有探索，意在</w:t>
      </w:r>
      <w:r>
        <w:rPr>
          <w:rStyle w:val="19"/>
          <w:rFonts w:hint="default" w:cs="Times New Roman"/>
          <w:sz w:val="24"/>
        </w:rPr>
        <w:t>以县域综合医改为抓手，借力县级CDC</w:t>
      </w:r>
      <w:r>
        <w:rPr>
          <w:rStyle w:val="19"/>
          <w:rFonts w:hint="eastAsia" w:cs="Times New Roman"/>
          <w:sz w:val="24"/>
          <w:lang w:eastAsia="zh-CN"/>
        </w:rPr>
        <w:t>与</w:t>
      </w:r>
      <w:r>
        <w:rPr>
          <w:rStyle w:val="19"/>
          <w:rFonts w:hint="default" w:cs="Times New Roman"/>
          <w:sz w:val="24"/>
        </w:rPr>
        <w:t>基层医疗卫生机构</w:t>
      </w:r>
      <w:r>
        <w:rPr>
          <w:rStyle w:val="19"/>
          <w:rFonts w:hint="eastAsia" w:cs="Times New Roman"/>
          <w:sz w:val="24"/>
          <w:lang w:eastAsia="zh-CN"/>
        </w:rPr>
        <w:t>的防治结合合作</w:t>
      </w:r>
      <w:r>
        <w:rPr>
          <w:rStyle w:val="19"/>
          <w:rFonts w:hint="default" w:cs="Times New Roman"/>
          <w:sz w:val="24"/>
        </w:rPr>
        <w:t>一举破解防治</w:t>
      </w:r>
      <w:r>
        <w:rPr>
          <w:rStyle w:val="19"/>
          <w:rFonts w:hint="eastAsia" w:cs="Times New Roman"/>
          <w:sz w:val="24"/>
          <w:lang w:eastAsia="zh-CN"/>
        </w:rPr>
        <w:t>割裂</w:t>
      </w:r>
      <w:r>
        <w:rPr>
          <w:rStyle w:val="19"/>
          <w:rFonts w:hint="default" w:cs="Times New Roman"/>
          <w:sz w:val="24"/>
        </w:rPr>
        <w:t>、预防</w:t>
      </w:r>
      <w:r>
        <w:rPr>
          <w:rStyle w:val="19"/>
          <w:rFonts w:hint="eastAsia" w:cs="Times New Roman"/>
          <w:sz w:val="24"/>
          <w:lang w:eastAsia="zh-CN"/>
        </w:rPr>
        <w:t>边缘化</w:t>
      </w:r>
      <w:r>
        <w:rPr>
          <w:rStyle w:val="19"/>
          <w:rFonts w:hint="default" w:cs="Times New Roman"/>
          <w:sz w:val="24"/>
        </w:rPr>
        <w:t>、CDC发展</w:t>
      </w:r>
      <w:r>
        <w:rPr>
          <w:rStyle w:val="19"/>
          <w:rFonts w:hint="eastAsia" w:cs="Times New Roman"/>
          <w:sz w:val="24"/>
          <w:lang w:eastAsia="zh-CN"/>
        </w:rPr>
        <w:t>受阻</w:t>
      </w:r>
      <w:r>
        <w:rPr>
          <w:rStyle w:val="19"/>
          <w:rFonts w:hint="default" w:cs="Times New Roman"/>
          <w:sz w:val="24"/>
        </w:rPr>
        <w:t>等难题。然而，就目前情况看，不同地区</w:t>
      </w:r>
      <w:r>
        <w:rPr>
          <w:rStyle w:val="19"/>
          <w:rFonts w:hint="eastAsia" w:cs="Times New Roman"/>
          <w:sz w:val="24"/>
          <w:lang w:eastAsia="zh-CN"/>
        </w:rPr>
        <w:t>县级</w:t>
      </w:r>
      <w:r>
        <w:rPr>
          <w:rStyle w:val="19"/>
          <w:rFonts w:hint="default" w:cs="Times New Roman"/>
          <w:sz w:val="24"/>
        </w:rPr>
        <w:t>CDC与县域医共体的</w:t>
      </w:r>
      <w:r>
        <w:rPr>
          <w:rStyle w:val="19"/>
          <w:rFonts w:hint="eastAsia" w:cs="Times New Roman"/>
          <w:sz w:val="24"/>
          <w:lang w:eastAsia="zh-CN"/>
        </w:rPr>
        <w:t>防治结合策略和</w:t>
      </w:r>
      <w:r>
        <w:rPr>
          <w:rStyle w:val="19"/>
          <w:rFonts w:hint="default" w:cs="Times New Roman"/>
          <w:sz w:val="24"/>
        </w:rPr>
        <w:t>程度均有不同，</w:t>
      </w:r>
      <w:r>
        <w:rPr>
          <w:rStyle w:val="19"/>
          <w:rFonts w:hint="eastAsia" w:cs="Times New Roman"/>
          <w:sz w:val="24"/>
          <w:lang w:eastAsia="zh-CN"/>
        </w:rPr>
        <w:t>为实现较有效的合作，达成合作目标，应该选择哪种合作</w:t>
      </w:r>
      <w:r>
        <w:rPr>
          <w:rStyle w:val="19"/>
          <w:rFonts w:hint="default" w:cs="Times New Roman"/>
          <w:sz w:val="24"/>
        </w:rPr>
        <w:t>策略</w:t>
      </w:r>
      <w:r>
        <w:rPr>
          <w:rStyle w:val="19"/>
          <w:rFonts w:hint="eastAsia" w:cs="Times New Roman"/>
          <w:sz w:val="24"/>
          <w:lang w:eastAsia="zh-CN"/>
        </w:rPr>
        <w:t>，合作到何种程度</w:t>
      </w:r>
      <w:r>
        <w:rPr>
          <w:rStyle w:val="19"/>
          <w:rFonts w:hint="default" w:cs="Times New Roman"/>
          <w:sz w:val="24"/>
        </w:rPr>
        <w:t>，是个值得探讨的问题。实现</w:t>
      </w:r>
      <w:r>
        <w:rPr>
          <w:rStyle w:val="19"/>
          <w:rFonts w:hint="eastAsia" w:cs="Times New Roman"/>
          <w:sz w:val="24"/>
          <w:lang w:eastAsia="zh-CN"/>
        </w:rPr>
        <w:t>县级</w:t>
      </w:r>
      <w:r>
        <w:rPr>
          <w:rStyle w:val="19"/>
          <w:rFonts w:hint="default" w:cs="Times New Roman"/>
          <w:sz w:val="24"/>
        </w:rPr>
        <w:t>CDC与县域医共体的</w:t>
      </w:r>
      <w:r>
        <w:rPr>
          <w:rStyle w:val="19"/>
          <w:rFonts w:hint="eastAsia" w:cs="Times New Roman"/>
          <w:sz w:val="24"/>
          <w:lang w:eastAsia="zh-CN"/>
        </w:rPr>
        <w:t>合作与</w:t>
      </w:r>
      <w:r>
        <w:rPr>
          <w:rStyle w:val="19"/>
          <w:rFonts w:hint="default" w:cs="Times New Roman"/>
          <w:sz w:val="24"/>
        </w:rPr>
        <w:t>互动还需要内</w:t>
      </w:r>
      <w:r>
        <w:rPr>
          <w:rStyle w:val="19"/>
          <w:rFonts w:hint="eastAsia" w:cs="Times New Roman"/>
          <w:sz w:val="24"/>
          <w:lang w:eastAsia="zh-CN"/>
        </w:rPr>
        <w:t>外</w:t>
      </w:r>
      <w:r>
        <w:rPr>
          <w:rStyle w:val="19"/>
          <w:rFonts w:hint="default" w:cs="Times New Roman"/>
          <w:sz w:val="24"/>
        </w:rPr>
        <w:t>部动力和激励机制的支撑，不同模式的行动逻辑</w:t>
      </w:r>
      <w:r>
        <w:rPr>
          <w:rStyle w:val="19"/>
          <w:rFonts w:hint="eastAsia" w:cs="Times New Roman"/>
          <w:sz w:val="24"/>
          <w:lang w:eastAsia="zh-CN"/>
        </w:rPr>
        <w:t>探讨</w:t>
      </w:r>
      <w:r>
        <w:rPr>
          <w:rStyle w:val="19"/>
          <w:rFonts w:hint="default" w:cs="Times New Roman"/>
          <w:sz w:val="24"/>
        </w:rPr>
        <w:t>有助于</w:t>
      </w:r>
      <w:r>
        <w:rPr>
          <w:rStyle w:val="19"/>
          <w:rFonts w:hint="eastAsia" w:cs="Times New Roman"/>
          <w:sz w:val="24"/>
          <w:lang w:eastAsia="zh-CN"/>
        </w:rPr>
        <w:t>对县级</w:t>
      </w:r>
      <w:r>
        <w:rPr>
          <w:rStyle w:val="19"/>
          <w:rFonts w:hint="eastAsia" w:cs="Times New Roman"/>
          <w:sz w:val="24"/>
          <w:lang w:val="en-US" w:eastAsia="zh-CN"/>
        </w:rPr>
        <w:t>CDC与县域医共体</w:t>
      </w:r>
      <w:r>
        <w:rPr>
          <w:rStyle w:val="19"/>
          <w:rFonts w:hint="eastAsia" w:cs="Times New Roman"/>
          <w:sz w:val="24"/>
          <w:lang w:eastAsia="zh-CN"/>
        </w:rPr>
        <w:t>合作动力和合作关系形态的深入剖析；通过对不同合作模式的合作整合效力进行分析，以及对其合作效果进行评价，</w:t>
      </w:r>
      <w:r>
        <w:rPr>
          <w:rStyle w:val="19"/>
          <w:rFonts w:hint="default" w:cs="Times New Roman"/>
          <w:sz w:val="24"/>
        </w:rPr>
        <w:t>总结</w:t>
      </w:r>
      <w:r>
        <w:rPr>
          <w:rStyle w:val="19"/>
          <w:rFonts w:hint="eastAsia" w:cs="Times New Roman"/>
          <w:sz w:val="24"/>
          <w:lang w:eastAsia="zh-CN"/>
        </w:rPr>
        <w:t>出</w:t>
      </w:r>
      <w:r>
        <w:rPr>
          <w:rStyle w:val="19"/>
          <w:rFonts w:hint="default" w:cs="Times New Roman"/>
          <w:sz w:val="24"/>
        </w:rPr>
        <w:t>县级CDC与</w:t>
      </w:r>
      <w:r>
        <w:rPr>
          <w:rStyle w:val="19"/>
          <w:rFonts w:hint="eastAsia" w:cs="Times New Roman"/>
          <w:sz w:val="24"/>
          <w:lang w:eastAsia="zh-CN"/>
        </w:rPr>
        <w:t>县域医共体防治结合合作</w:t>
      </w:r>
      <w:r>
        <w:rPr>
          <w:rStyle w:val="19"/>
          <w:rFonts w:hint="default" w:cs="Times New Roman"/>
          <w:sz w:val="24"/>
        </w:rPr>
        <w:t>的一种占优模式</w:t>
      </w:r>
      <w:r>
        <w:rPr>
          <w:rStyle w:val="19"/>
          <w:rFonts w:hint="eastAsia" w:cs="Times New Roman"/>
          <w:sz w:val="24"/>
          <w:lang w:eastAsia="zh-CN"/>
        </w:rPr>
        <w:t>。在占优模式的基础上，结合当前卫生健康形势和影响县级</w:t>
      </w:r>
      <w:r>
        <w:rPr>
          <w:rStyle w:val="19"/>
          <w:rFonts w:hint="eastAsia" w:cs="Times New Roman"/>
          <w:sz w:val="24"/>
          <w:lang w:val="en-US" w:eastAsia="zh-CN"/>
        </w:rPr>
        <w:t>CDC与县域医共体合作的影响因素，提炼出县级CDC与县域医共体开展防治结合的理想路径，是本研究要回答的问题。</w:t>
      </w:r>
    </w:p>
    <w:p>
      <w:pPr>
        <w:spacing w:line="360" w:lineRule="auto"/>
        <w:ind w:firstLine="480" w:firstLineChars="200"/>
        <w:jc w:val="left"/>
        <w:rPr>
          <w:rFonts w:ascii="Times New Roman" w:hAnsi="Times New Roman" w:eastAsia="宋体"/>
          <w:sz w:val="24"/>
          <w:szCs w:val="24"/>
        </w:rPr>
      </w:pPr>
    </w:p>
    <w:p>
      <w:pPr>
        <w:jc w:val="left"/>
        <w:rPr>
          <w:rFonts w:ascii="微软雅黑" w:hAnsi="微软雅黑" w:eastAsia="微软雅黑"/>
          <w:b/>
          <w:sz w:val="24"/>
          <w:szCs w:val="24"/>
        </w:rPr>
      </w:pPr>
      <w:r>
        <w:rPr>
          <w:rFonts w:hint="eastAsia" w:ascii="微软雅黑" w:hAnsi="微软雅黑" w:eastAsia="微软雅黑"/>
          <w:b/>
          <w:sz w:val="24"/>
          <w:szCs w:val="24"/>
        </w:rPr>
        <w:t>开题组成员：</w:t>
      </w:r>
    </w:p>
    <w:p>
      <w:pPr>
        <w:spacing w:line="360" w:lineRule="auto"/>
        <w:jc w:val="left"/>
        <w:rPr>
          <w:rFonts w:ascii="Times New Roman" w:hAnsi="Times New Roman" w:eastAsia="宋体"/>
          <w:sz w:val="24"/>
          <w:szCs w:val="24"/>
        </w:rPr>
      </w:pPr>
      <w:r>
        <w:rPr>
          <w:rFonts w:hint="eastAsia" w:ascii="Times New Roman" w:hAnsi="Times New Roman" w:eastAsia="宋体"/>
          <w:sz w:val="24"/>
          <w:szCs w:val="24"/>
          <w:lang w:eastAsia="zh-CN"/>
        </w:rPr>
        <w:t>田</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lang w:eastAsia="zh-CN"/>
        </w:rPr>
        <w:t>明</w:t>
      </w:r>
      <w:r>
        <w:rPr>
          <w:rFonts w:hint="eastAsia" w:ascii="Times New Roman" w:hAnsi="Times New Roman" w:eastAsia="宋体"/>
          <w:sz w:val="24"/>
          <w:szCs w:val="24"/>
        </w:rPr>
        <w:t>（组长）：北京师范大学</w:t>
      </w:r>
      <w:r>
        <w:rPr>
          <w:rFonts w:hint="eastAsia" w:ascii="Times New Roman" w:hAnsi="Times New Roman" w:eastAsia="宋体"/>
          <w:sz w:val="24"/>
          <w:szCs w:val="24"/>
          <w:lang w:eastAsia="zh-CN"/>
        </w:rPr>
        <w:t>社会发展与公共政策学院</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教授、博士生导师</w:t>
      </w:r>
    </w:p>
    <w:p>
      <w:pPr>
        <w:spacing w:line="360" w:lineRule="auto"/>
        <w:jc w:val="left"/>
        <w:rPr>
          <w:rFonts w:ascii="Times New Roman" w:hAnsi="Times New Roman" w:eastAsia="宋体"/>
          <w:sz w:val="24"/>
          <w:szCs w:val="24"/>
        </w:rPr>
      </w:pPr>
      <w:r>
        <w:rPr>
          <w:rFonts w:hint="eastAsia" w:ascii="Times New Roman" w:hAnsi="Times New Roman" w:eastAsia="宋体"/>
          <w:sz w:val="24"/>
          <w:szCs w:val="24"/>
          <w:lang w:eastAsia="zh-CN"/>
        </w:rPr>
        <w:t>郑雄飞</w:t>
      </w:r>
      <w:r>
        <w:rPr>
          <w:rFonts w:hint="eastAsia" w:ascii="Times New Roman" w:hAnsi="Times New Roman" w:eastAsia="宋体"/>
          <w:sz w:val="24"/>
          <w:szCs w:val="24"/>
        </w:rPr>
        <w:t>（委员）：</w:t>
      </w:r>
      <w:r>
        <w:rPr>
          <w:rFonts w:hint="eastAsia" w:ascii="Times New Roman" w:hAnsi="Times New Roman" w:eastAsia="宋体"/>
          <w:sz w:val="24"/>
          <w:szCs w:val="24"/>
        </w:rPr>
        <w:t>北京师范大学中国社会管理研究院/社会学院教授、博士生导师</w:t>
      </w:r>
    </w:p>
    <w:p>
      <w:pPr>
        <w:spacing w:line="360" w:lineRule="auto"/>
        <w:jc w:val="left"/>
        <w:rPr>
          <w:rFonts w:ascii="Times New Roman" w:hAnsi="Times New Roman" w:eastAsia="宋体"/>
          <w:sz w:val="24"/>
          <w:szCs w:val="24"/>
        </w:rPr>
      </w:pPr>
      <w:r>
        <w:rPr>
          <w:rFonts w:hint="eastAsia" w:ascii="Times New Roman" w:hAnsi="Times New Roman" w:eastAsia="宋体"/>
          <w:sz w:val="24"/>
          <w:szCs w:val="24"/>
          <w:lang w:eastAsia="zh-CN"/>
        </w:rPr>
        <w:t>梁小云</w:t>
      </w:r>
      <w:r>
        <w:rPr>
          <w:rFonts w:hint="eastAsia" w:ascii="Times New Roman" w:hAnsi="Times New Roman" w:eastAsia="宋体"/>
          <w:sz w:val="24"/>
          <w:szCs w:val="24"/>
        </w:rPr>
        <w:t>（委员）：</w:t>
      </w:r>
      <w:r>
        <w:rPr>
          <w:rFonts w:hint="eastAsia" w:ascii="Times New Roman" w:hAnsi="Times New Roman" w:eastAsia="宋体"/>
          <w:sz w:val="24"/>
          <w:szCs w:val="24"/>
        </w:rPr>
        <w:t>北京师范大学</w:t>
      </w:r>
      <w:r>
        <w:rPr>
          <w:rFonts w:hint="eastAsia" w:ascii="Times New Roman" w:hAnsi="Times New Roman" w:eastAsia="宋体"/>
          <w:sz w:val="24"/>
          <w:szCs w:val="24"/>
          <w:lang w:eastAsia="zh-CN"/>
        </w:rPr>
        <w:t>社会发展与公共政策学院</w:t>
      </w:r>
      <w:r>
        <w:rPr>
          <w:rFonts w:hint="eastAsia" w:ascii="Times New Roman" w:hAnsi="Times New Roman" w:eastAsia="宋体"/>
          <w:sz w:val="24"/>
          <w:szCs w:val="24"/>
          <w:lang w:val="en-US" w:eastAsia="zh-CN"/>
        </w:rPr>
        <w:t xml:space="preserve"> 副</w:t>
      </w:r>
      <w:r>
        <w:rPr>
          <w:rFonts w:hint="eastAsia" w:ascii="Times New Roman" w:hAnsi="Times New Roman" w:eastAsia="宋体"/>
          <w:sz w:val="24"/>
          <w:szCs w:val="24"/>
        </w:rPr>
        <w:t>教授、博士生导师</w:t>
      </w:r>
    </w:p>
    <w:p>
      <w:pPr>
        <w:jc w:val="left"/>
        <w:rPr>
          <w:rFonts w:ascii="微软雅黑" w:hAnsi="微软雅黑" w:eastAsia="微软雅黑"/>
          <w:sz w:val="24"/>
          <w:szCs w:val="24"/>
        </w:rPr>
      </w:pPr>
    </w:p>
    <w:p>
      <w:pPr>
        <w:jc w:val="left"/>
        <w:rPr>
          <w:rFonts w:ascii="微软雅黑" w:hAnsi="微软雅黑" w:eastAsia="微软雅黑"/>
          <w:b/>
          <w:sz w:val="24"/>
          <w:szCs w:val="24"/>
        </w:rPr>
      </w:pPr>
      <w:r>
        <w:rPr>
          <w:rFonts w:hint="eastAsia" w:ascii="微软雅黑" w:hAnsi="微软雅黑" w:eastAsia="微软雅黑"/>
          <w:b/>
          <w:sz w:val="24"/>
          <w:szCs w:val="24"/>
        </w:rPr>
        <w:t>开题秘书：</w:t>
      </w:r>
      <w:r>
        <w:rPr>
          <w:rFonts w:hint="eastAsia" w:ascii="微软雅黑" w:hAnsi="微软雅黑" w:eastAsia="微软雅黑"/>
          <w:bCs/>
          <w:sz w:val="24"/>
          <w:szCs w:val="24"/>
          <w:lang w:eastAsia="zh-CN"/>
        </w:rPr>
        <w:t>李振锋</w:t>
      </w:r>
    </w:p>
    <w:p>
      <w:pPr>
        <w:jc w:val="left"/>
        <w:rPr>
          <w:rFonts w:ascii="微软雅黑" w:hAnsi="微软雅黑" w:eastAsia="微软雅黑"/>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隶书">
    <w:panose1 w:val="0201050906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中雅宋_GBK">
    <w:altName w:val="宋体"/>
    <w:panose1 w:val="02000000000000000000"/>
    <w:charset w:val="86"/>
    <w:family w:val="auto"/>
    <w:pitch w:val="default"/>
    <w:sig w:usb0="00000000" w:usb1="00000000" w:usb2="00082016" w:usb3="00000000" w:csb0="00040001" w:csb1="00000000"/>
  </w:font>
  <w:font w:name="方正兰亭纤黑_GBK">
    <w:altName w:val="黑体"/>
    <w:panose1 w:val="02000000000000000000"/>
    <w:charset w:val="86"/>
    <w:family w:val="auto"/>
    <w:pitch w:val="default"/>
    <w:sig w:usb0="00000000" w:usb1="00000000" w:usb2="000C2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10" w:usb3="00000000" w:csb0="00040000" w:csb1="00000000"/>
  </w:font>
  <w:font w:name="方正兰亭黑_GBK">
    <w:altName w:val="微软雅黑"/>
    <w:panose1 w:val="02000000000000000000"/>
    <w:charset w:val="86"/>
    <w:family w:val="auto"/>
    <w:pitch w:val="default"/>
    <w:sig w:usb0="00000000" w:usb1="00000000" w:usb2="00042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EU-BX">
    <w:altName w:val="宋体"/>
    <w:panose1 w:val="03000509000000000000"/>
    <w:charset w:val="86"/>
    <w:family w:val="script"/>
    <w:pitch w:val="default"/>
    <w:sig w:usb0="00000000" w:usb1="00000000" w:usb2="00000010" w:usb3="00000000" w:csb0="00040000" w:csb1="00000000"/>
  </w:font>
  <w:font w:name="PMingLiU">
    <w:panose1 w:val="02020500000000000000"/>
    <w:charset w:val="88"/>
    <w:family w:val="modern"/>
    <w:pitch w:val="default"/>
    <w:sig w:usb0="A00002FF" w:usb1="28CFFCFA" w:usb2="00000016" w:usb3="00000000" w:csb0="00100001"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隶书">
    <w:panose1 w:val="0201050906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MS Mincho">
    <w:panose1 w:val="02020609040205080304"/>
    <w:charset w:val="80"/>
    <w:family w:val="decorative"/>
    <w:pitch w:val="default"/>
    <w:sig w:usb0="E00002FF" w:usb1="6AC7FDFB" w:usb2="00000012" w:usb3="00000000" w:csb0="4002009F" w:csb1="DFD70000"/>
  </w:font>
  <w:font w:name="PMingLiU">
    <w:panose1 w:val="02020500000000000000"/>
    <w:charset w:val="88"/>
    <w:family w:val="swiss"/>
    <w:pitch w:val="default"/>
    <w:sig w:usb0="A00002FF" w:usb1="28CFFCFA" w:usb2="00000016" w:usb3="00000000" w:csb0="0010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Lantinghei SC">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decorative"/>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open-sans-condensed">
    <w:altName w:val="Segoe Print"/>
    <w:panose1 w:val="00000000000000000000"/>
    <w:charset w:val="00"/>
    <w:family w:val="auto"/>
    <w:pitch w:val="default"/>
    <w:sig w:usb0="00000000" w:usb1="00000000" w:usb2="00000000" w:usb3="00000000" w:csb0="00040001" w:csb1="00000000"/>
  </w:font>
  <w:font w:name="open-sans">
    <w:altName w:val="Segoe Print"/>
    <w:panose1 w:val="00000000000000000000"/>
    <w:charset w:val="00"/>
    <w:family w:val="auto"/>
    <w:pitch w:val="default"/>
    <w:sig w:usb0="00000000" w:usb1="00000000" w:usb2="00000000" w:usb3="00000000" w:csb0="00040001" w:csb1="00000000"/>
  </w:font>
  <w:font w:name="Amazon Ember">
    <w:altName w:val="Segoe Print"/>
    <w:panose1 w:val="00000000000000000000"/>
    <w:charset w:val="00"/>
    <w:family w:val="auto"/>
    <w:pitch w:val="default"/>
    <w:sig w:usb0="00000000" w:usb1="00000000" w:usb2="00000000" w:usb3="00000000" w:csb0="00040001" w:csb1="00000000"/>
  </w:font>
  <w:font w:name="B3+CAJ FNT00">
    <w:altName w:val="宋体"/>
    <w:panose1 w:val="00000000000000000000"/>
    <w:charset w:val="86"/>
    <w:family w:val="auto"/>
    <w:pitch w:val="default"/>
    <w:sig w:usb0="00000000" w:usb1="00000000" w:usb2="00000000" w:usb3="00000000" w:csb0="00040000" w:csb1="00000000"/>
  </w:font>
  <w:font w:name="B4+CAJSymbolA">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decorative"/>
    <w:pitch w:val="default"/>
    <w:sig w:usb0="A00002BF" w:usb1="38CF7CFA" w:usb2="00000016" w:usb3="00000000" w:csb0="0004000F" w:csb1="00000000"/>
  </w:font>
  <w:font w:name="等线 Light">
    <w:panose1 w:val="02010600030101010101"/>
    <w:charset w:val="86"/>
    <w:family w:val="decorative"/>
    <w:pitch w:val="default"/>
    <w:sig w:usb0="A00002BF" w:usb1="38CF7CFA"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roma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jcd-fntaa">
    <w:altName w:val="Segoe Print"/>
    <w:panose1 w:val="00000000000000000000"/>
    <w:charset w:val="00"/>
    <w:family w:val="swiss"/>
    <w:pitch w:val="default"/>
    <w:sig w:usb0="00000000" w:usb1="00000000" w:usb2="00000000" w:usb3="00000000" w:csb0="00000001" w:csb1="00000000"/>
  </w:font>
  <w:font w:name="AdvTmath1">
    <w:altName w:val="宋体"/>
    <w:panose1 w:val="00000000000000000000"/>
    <w:charset w:val="86"/>
    <w:family w:val="auto"/>
    <w:pitch w:val="default"/>
    <w:sig w:usb0="00000000" w:usb1="00000000" w:usb2="00000000" w:usb3="00000000" w:csb0="00040000" w:csb1="00000000"/>
  </w:font>
  <w:font w:name="cajcd-fntaa">
    <w:altName w:val="Segoe Print"/>
    <w:panose1 w:val="00000000000000000000"/>
    <w:charset w:val="00"/>
    <w:family w:val="decorative"/>
    <w:pitch w:val="default"/>
    <w:sig w:usb0="00000000" w:usb1="00000000" w:usb2="00000000" w:usb3="00000000" w:csb0="00000001" w:csb1="00000000"/>
  </w:font>
  <w:font w:name="cajcd-fntaa">
    <w:altName w:val="Segoe Print"/>
    <w:panose1 w:val="00000000000000000000"/>
    <w:charset w:val="00"/>
    <w:family w:val="roman"/>
    <w:pitch w:val="default"/>
    <w:sig w:usb0="00000000" w:usb1="00000000" w:usb2="00000000" w:usb3="00000000" w:csb0="00000001" w:csb1="00000000"/>
  </w:font>
  <w:font w:name="cajcd-fntaa">
    <w:altName w:val="Segoe Print"/>
    <w:panose1 w:val="00000000000000000000"/>
    <w:charset w:val="00"/>
    <w:family w:val="modern"/>
    <w:pitch w:val="default"/>
    <w:sig w:usb0="00000000" w:usb1="00000000" w:usb2="00000000" w:usb3="00000000" w:csb0="00000001" w:csb1="00000000"/>
  </w:font>
  <w:font w:name="等线">
    <w:panose1 w:val="02010600030101010101"/>
    <w:charset w:val="86"/>
    <w:family w:val="modern"/>
    <w:pitch w:val="default"/>
    <w:sig w:usb0="A00002BF" w:usb1="38CF7CFA" w:usb2="00000016" w:usb3="00000000" w:csb0="0004000F" w:csb1="00000000"/>
  </w:font>
  <w:font w:name="等线 Light">
    <w:panose1 w:val="02010600030101010101"/>
    <w:charset w:val="86"/>
    <w:family w:val="modern"/>
    <w:pitch w:val="default"/>
    <w:sig w:usb0="A00002BF" w:usb1="38CF7CFA" w:usb2="00000016" w:usb3="00000000" w:csb0="0004000F" w:csb1="00000000"/>
  </w:font>
  <w:font w:name="等线">
    <w:panose1 w:val="02010600030101010101"/>
    <w:charset w:val="86"/>
    <w:family w:val="swiss"/>
    <w:pitch w:val="default"/>
    <w:sig w:usb0="A00002BF" w:usb1="38CF7CFA" w:usb2="00000016" w:usb3="00000000" w:csb0="0004000F" w:csb1="00000000"/>
  </w:font>
  <w:font w:name="等线 Light">
    <w:panose1 w:val="02010600030101010101"/>
    <w:charset w:val="86"/>
    <w:family w:val="swiss"/>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97"/>
    <w:rsid w:val="00000273"/>
    <w:rsid w:val="00016D8C"/>
    <w:rsid w:val="00026A64"/>
    <w:rsid w:val="00027E3C"/>
    <w:rsid w:val="00030578"/>
    <w:rsid w:val="00044DBB"/>
    <w:rsid w:val="00045197"/>
    <w:rsid w:val="00045B7B"/>
    <w:rsid w:val="000465D4"/>
    <w:rsid w:val="00047DA5"/>
    <w:rsid w:val="0005479B"/>
    <w:rsid w:val="00075553"/>
    <w:rsid w:val="00083E79"/>
    <w:rsid w:val="00091AB9"/>
    <w:rsid w:val="000A3FC6"/>
    <w:rsid w:val="000B424B"/>
    <w:rsid w:val="000C77C0"/>
    <w:rsid w:val="000D1F72"/>
    <w:rsid w:val="000D7497"/>
    <w:rsid w:val="000E6514"/>
    <w:rsid w:val="000F0A6A"/>
    <w:rsid w:val="000F6D4A"/>
    <w:rsid w:val="00106C4C"/>
    <w:rsid w:val="00124E3D"/>
    <w:rsid w:val="00125CB3"/>
    <w:rsid w:val="00141D29"/>
    <w:rsid w:val="00176222"/>
    <w:rsid w:val="001828B8"/>
    <w:rsid w:val="00185820"/>
    <w:rsid w:val="001876B8"/>
    <w:rsid w:val="001942E6"/>
    <w:rsid w:val="00196656"/>
    <w:rsid w:val="001966FA"/>
    <w:rsid w:val="00197F60"/>
    <w:rsid w:val="001D0C6C"/>
    <w:rsid w:val="001D0F60"/>
    <w:rsid w:val="001E1D10"/>
    <w:rsid w:val="001E6422"/>
    <w:rsid w:val="00202A94"/>
    <w:rsid w:val="002103BF"/>
    <w:rsid w:val="002106E3"/>
    <w:rsid w:val="00217DBC"/>
    <w:rsid w:val="00261664"/>
    <w:rsid w:val="00261DBB"/>
    <w:rsid w:val="0026504A"/>
    <w:rsid w:val="002667A8"/>
    <w:rsid w:val="00274C1C"/>
    <w:rsid w:val="0029203C"/>
    <w:rsid w:val="002A1BEE"/>
    <w:rsid w:val="002C63FA"/>
    <w:rsid w:val="002C7CCB"/>
    <w:rsid w:val="002D3EFD"/>
    <w:rsid w:val="002E0B20"/>
    <w:rsid w:val="002E541F"/>
    <w:rsid w:val="002E6783"/>
    <w:rsid w:val="002E76F9"/>
    <w:rsid w:val="002F2E34"/>
    <w:rsid w:val="003036F8"/>
    <w:rsid w:val="00304C51"/>
    <w:rsid w:val="0032222C"/>
    <w:rsid w:val="00325457"/>
    <w:rsid w:val="00331C17"/>
    <w:rsid w:val="003333DB"/>
    <w:rsid w:val="00340025"/>
    <w:rsid w:val="00341E4E"/>
    <w:rsid w:val="00347B21"/>
    <w:rsid w:val="00352619"/>
    <w:rsid w:val="003542A7"/>
    <w:rsid w:val="003676E4"/>
    <w:rsid w:val="00390A1C"/>
    <w:rsid w:val="00392B47"/>
    <w:rsid w:val="003947CB"/>
    <w:rsid w:val="003A6173"/>
    <w:rsid w:val="003B4D04"/>
    <w:rsid w:val="003C3CA7"/>
    <w:rsid w:val="003E44CE"/>
    <w:rsid w:val="003E6F5E"/>
    <w:rsid w:val="003F6D69"/>
    <w:rsid w:val="00426CAC"/>
    <w:rsid w:val="00426CE6"/>
    <w:rsid w:val="0043273B"/>
    <w:rsid w:val="004442AA"/>
    <w:rsid w:val="00481AAF"/>
    <w:rsid w:val="00483AC2"/>
    <w:rsid w:val="004929C9"/>
    <w:rsid w:val="004964C4"/>
    <w:rsid w:val="004B1AC4"/>
    <w:rsid w:val="004B378B"/>
    <w:rsid w:val="004B7ADF"/>
    <w:rsid w:val="004C35CF"/>
    <w:rsid w:val="004C4B6C"/>
    <w:rsid w:val="004D36DC"/>
    <w:rsid w:val="004D507F"/>
    <w:rsid w:val="004F140F"/>
    <w:rsid w:val="00507C28"/>
    <w:rsid w:val="005273C4"/>
    <w:rsid w:val="00534193"/>
    <w:rsid w:val="00567966"/>
    <w:rsid w:val="0057192D"/>
    <w:rsid w:val="0057344C"/>
    <w:rsid w:val="00575C88"/>
    <w:rsid w:val="00581AC6"/>
    <w:rsid w:val="0058280D"/>
    <w:rsid w:val="005A1A6E"/>
    <w:rsid w:val="005B4C7E"/>
    <w:rsid w:val="005D0921"/>
    <w:rsid w:val="005D7C8C"/>
    <w:rsid w:val="005E4685"/>
    <w:rsid w:val="005F4ED4"/>
    <w:rsid w:val="006118DC"/>
    <w:rsid w:val="00615253"/>
    <w:rsid w:val="006164E3"/>
    <w:rsid w:val="006265BD"/>
    <w:rsid w:val="00634C4E"/>
    <w:rsid w:val="00654CC2"/>
    <w:rsid w:val="00673681"/>
    <w:rsid w:val="00675846"/>
    <w:rsid w:val="006951BA"/>
    <w:rsid w:val="00695A1D"/>
    <w:rsid w:val="006C7FAF"/>
    <w:rsid w:val="006D2569"/>
    <w:rsid w:val="006E259A"/>
    <w:rsid w:val="006F441C"/>
    <w:rsid w:val="006F5494"/>
    <w:rsid w:val="00707E06"/>
    <w:rsid w:val="0072139D"/>
    <w:rsid w:val="00733C1E"/>
    <w:rsid w:val="007462E2"/>
    <w:rsid w:val="007763E2"/>
    <w:rsid w:val="00790C27"/>
    <w:rsid w:val="007A1EE6"/>
    <w:rsid w:val="007A5D4E"/>
    <w:rsid w:val="007A7659"/>
    <w:rsid w:val="007F75FA"/>
    <w:rsid w:val="0080070F"/>
    <w:rsid w:val="00800D87"/>
    <w:rsid w:val="00807020"/>
    <w:rsid w:val="00811CC0"/>
    <w:rsid w:val="00823E60"/>
    <w:rsid w:val="0084059F"/>
    <w:rsid w:val="00855218"/>
    <w:rsid w:val="00862168"/>
    <w:rsid w:val="00871BB0"/>
    <w:rsid w:val="008A039E"/>
    <w:rsid w:val="008A3FFB"/>
    <w:rsid w:val="008B26F5"/>
    <w:rsid w:val="008C4E60"/>
    <w:rsid w:val="008D5D2D"/>
    <w:rsid w:val="008E0130"/>
    <w:rsid w:val="008E3F59"/>
    <w:rsid w:val="008E6383"/>
    <w:rsid w:val="008F189C"/>
    <w:rsid w:val="008F50D7"/>
    <w:rsid w:val="008F7407"/>
    <w:rsid w:val="0090316D"/>
    <w:rsid w:val="0091297C"/>
    <w:rsid w:val="00915D2E"/>
    <w:rsid w:val="0093369C"/>
    <w:rsid w:val="00952BF1"/>
    <w:rsid w:val="00954FFB"/>
    <w:rsid w:val="0095716E"/>
    <w:rsid w:val="0096441C"/>
    <w:rsid w:val="00980D52"/>
    <w:rsid w:val="009A43CC"/>
    <w:rsid w:val="009A7596"/>
    <w:rsid w:val="009A7EBE"/>
    <w:rsid w:val="009B5F79"/>
    <w:rsid w:val="009D0C36"/>
    <w:rsid w:val="00A1325A"/>
    <w:rsid w:val="00A34EF2"/>
    <w:rsid w:val="00A41051"/>
    <w:rsid w:val="00A51588"/>
    <w:rsid w:val="00A6576B"/>
    <w:rsid w:val="00A6587A"/>
    <w:rsid w:val="00A70C4F"/>
    <w:rsid w:val="00A7509B"/>
    <w:rsid w:val="00A82C80"/>
    <w:rsid w:val="00A84416"/>
    <w:rsid w:val="00A96A6C"/>
    <w:rsid w:val="00AB40BC"/>
    <w:rsid w:val="00AF0B39"/>
    <w:rsid w:val="00B07A69"/>
    <w:rsid w:val="00B125F4"/>
    <w:rsid w:val="00B25D3E"/>
    <w:rsid w:val="00B328AE"/>
    <w:rsid w:val="00B34903"/>
    <w:rsid w:val="00B43859"/>
    <w:rsid w:val="00B50A1C"/>
    <w:rsid w:val="00BA6C26"/>
    <w:rsid w:val="00BB795E"/>
    <w:rsid w:val="00BB7AD2"/>
    <w:rsid w:val="00BF125C"/>
    <w:rsid w:val="00BF51CF"/>
    <w:rsid w:val="00BF6E65"/>
    <w:rsid w:val="00C07CFE"/>
    <w:rsid w:val="00C12FAA"/>
    <w:rsid w:val="00C26AC4"/>
    <w:rsid w:val="00C327DE"/>
    <w:rsid w:val="00C3642C"/>
    <w:rsid w:val="00C441BF"/>
    <w:rsid w:val="00C520D2"/>
    <w:rsid w:val="00C64F03"/>
    <w:rsid w:val="00C66084"/>
    <w:rsid w:val="00C758CF"/>
    <w:rsid w:val="00C76ADB"/>
    <w:rsid w:val="00C95BDB"/>
    <w:rsid w:val="00CB66BE"/>
    <w:rsid w:val="00CB712E"/>
    <w:rsid w:val="00CC082A"/>
    <w:rsid w:val="00CC156D"/>
    <w:rsid w:val="00CC26FD"/>
    <w:rsid w:val="00D04023"/>
    <w:rsid w:val="00D16BD2"/>
    <w:rsid w:val="00D23663"/>
    <w:rsid w:val="00D2418A"/>
    <w:rsid w:val="00D259F9"/>
    <w:rsid w:val="00D359CF"/>
    <w:rsid w:val="00D46680"/>
    <w:rsid w:val="00D46BC4"/>
    <w:rsid w:val="00D60334"/>
    <w:rsid w:val="00D66EBB"/>
    <w:rsid w:val="00D733EA"/>
    <w:rsid w:val="00D742EB"/>
    <w:rsid w:val="00D8534D"/>
    <w:rsid w:val="00D87AAC"/>
    <w:rsid w:val="00D965FC"/>
    <w:rsid w:val="00DA4E04"/>
    <w:rsid w:val="00DB088C"/>
    <w:rsid w:val="00DB1208"/>
    <w:rsid w:val="00DB3D3D"/>
    <w:rsid w:val="00DC36F0"/>
    <w:rsid w:val="00DF7F13"/>
    <w:rsid w:val="00E05A34"/>
    <w:rsid w:val="00E07913"/>
    <w:rsid w:val="00E31206"/>
    <w:rsid w:val="00E36906"/>
    <w:rsid w:val="00E55DAD"/>
    <w:rsid w:val="00E67834"/>
    <w:rsid w:val="00E7025F"/>
    <w:rsid w:val="00E73B6F"/>
    <w:rsid w:val="00E93237"/>
    <w:rsid w:val="00E959BC"/>
    <w:rsid w:val="00EA3CD8"/>
    <w:rsid w:val="00EA3D76"/>
    <w:rsid w:val="00EA61AF"/>
    <w:rsid w:val="00EC3CDB"/>
    <w:rsid w:val="00ED65C0"/>
    <w:rsid w:val="00EE2198"/>
    <w:rsid w:val="00EE74C8"/>
    <w:rsid w:val="00EF5968"/>
    <w:rsid w:val="00F07499"/>
    <w:rsid w:val="00F07E7C"/>
    <w:rsid w:val="00F11902"/>
    <w:rsid w:val="00F226C8"/>
    <w:rsid w:val="00F22940"/>
    <w:rsid w:val="00F34C42"/>
    <w:rsid w:val="00F55628"/>
    <w:rsid w:val="00F57E41"/>
    <w:rsid w:val="00F60D39"/>
    <w:rsid w:val="00F61BC9"/>
    <w:rsid w:val="00F7070A"/>
    <w:rsid w:val="00F7339E"/>
    <w:rsid w:val="00F805CC"/>
    <w:rsid w:val="00F9277C"/>
    <w:rsid w:val="00F947B7"/>
    <w:rsid w:val="00FA7AB0"/>
    <w:rsid w:val="00FC0ADF"/>
    <w:rsid w:val="00FE2242"/>
    <w:rsid w:val="00FF2C06"/>
    <w:rsid w:val="00FF7AD0"/>
    <w:rsid w:val="5FE473E0"/>
    <w:rsid w:val="691616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uiPriority w:val="99"/>
    <w:pPr>
      <w:jc w:val="left"/>
    </w:p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styleId="10">
    <w:name w:val="annotation reference"/>
    <w:basedOn w:val="8"/>
    <w:unhideWhenUsed/>
    <w:qFormat/>
    <w:uiPriority w:val="99"/>
    <w:rPr>
      <w:sz w:val="21"/>
      <w:szCs w:val="21"/>
    </w:rPr>
  </w:style>
  <w:style w:type="character" w:customStyle="1" w:styleId="12">
    <w:name w:val="页眉 字符"/>
    <w:basedOn w:val="8"/>
    <w:link w:val="7"/>
    <w:uiPriority w:val="99"/>
    <w:rPr>
      <w:sz w:val="18"/>
      <w:szCs w:val="18"/>
    </w:rPr>
  </w:style>
  <w:style w:type="character" w:customStyle="1" w:styleId="13">
    <w:name w:val="页脚 字符"/>
    <w:basedOn w:val="8"/>
    <w:link w:val="6"/>
    <w:uiPriority w:val="99"/>
    <w:rPr>
      <w:sz w:val="18"/>
      <w:szCs w:val="18"/>
    </w:rPr>
  </w:style>
  <w:style w:type="character" w:customStyle="1" w:styleId="14">
    <w:name w:val="批注框文本 字符"/>
    <w:basedOn w:val="8"/>
    <w:link w:val="5"/>
    <w:semiHidden/>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日期 字符"/>
    <w:basedOn w:val="8"/>
    <w:link w:val="4"/>
    <w:semiHidden/>
    <w:qFormat/>
    <w:uiPriority w:val="99"/>
  </w:style>
  <w:style w:type="character" w:customStyle="1" w:styleId="17">
    <w:name w:val="批注文字 字符"/>
    <w:basedOn w:val="8"/>
    <w:link w:val="3"/>
    <w:semiHidden/>
    <w:qFormat/>
    <w:uiPriority w:val="99"/>
  </w:style>
  <w:style w:type="character" w:customStyle="1" w:styleId="18">
    <w:name w:val="批注主题 字符"/>
    <w:basedOn w:val="17"/>
    <w:link w:val="2"/>
    <w:semiHidden/>
    <w:qFormat/>
    <w:uiPriority w:val="99"/>
    <w:rPr>
      <w:b/>
      <w:bCs/>
    </w:rPr>
  </w:style>
  <w:style w:type="character" w:customStyle="1" w:styleId="19">
    <w:name w:val="A3"/>
    <w:unhideWhenUsed/>
    <w:qFormat/>
    <w:uiPriority w:val="99"/>
    <w:rPr>
      <w:rFonts w:hint="eastAsia" w:ascii="Times New Roman" w:hAnsi="Times New Roman"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42FA1-583D-494E-886D-1D6F8E47562E}">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974</Characters>
  <Lines>8</Lines>
  <Paragraphs>2</Paragraphs>
  <TotalTime>0</TotalTime>
  <ScaleCrop>false</ScaleCrop>
  <LinksUpToDate>false</LinksUpToDate>
  <CharactersWithSpaces>1142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2016-03-21T08:37:00Z</dcterms:created>
  <dc:creator>dell</dc:creator>
  <cp:lastModifiedBy>王禅</cp:lastModifiedBy>
  <dcterms:modified xsi:type="dcterms:W3CDTF">2021-06-04T06:00:00Z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